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72B7B5" w14:textId="77777777" w:rsidR="00795F28" w:rsidRDefault="002960F9">
      <w:pPr>
        <w:pStyle w:val="normal0"/>
      </w:pPr>
      <w:r>
        <w:rPr>
          <w:b/>
          <w:sz w:val="24"/>
          <w:szCs w:val="24"/>
        </w:rPr>
        <w:t>Sudan</w:t>
      </w:r>
    </w:p>
    <w:p w14:paraId="68FE78B6" w14:textId="77777777" w:rsidR="00795F28" w:rsidRDefault="002960F9">
      <w:pPr>
        <w:pStyle w:val="normal0"/>
      </w:pPr>
      <w:r>
        <w:rPr>
          <w:b/>
          <w:sz w:val="24"/>
          <w:szCs w:val="24"/>
        </w:rPr>
        <w:t>Year 2 (October 2015-September 2016)</w:t>
      </w:r>
    </w:p>
    <w:p w14:paraId="0569D5C8" w14:textId="77777777" w:rsidR="00795F28" w:rsidRDefault="002960F9">
      <w:pPr>
        <w:pStyle w:val="normal0"/>
      </w:pPr>
      <w:r>
        <w:rPr>
          <w:b/>
          <w:sz w:val="24"/>
          <w:szCs w:val="24"/>
        </w:rPr>
        <w:t xml:space="preserve"> </w:t>
      </w:r>
    </w:p>
    <w:p w14:paraId="483B1034" w14:textId="77777777" w:rsidR="00795F28" w:rsidRDefault="002960F9">
      <w:pPr>
        <w:pStyle w:val="normal0"/>
      </w:pPr>
      <w:r>
        <w:rPr>
          <w:b/>
          <w:sz w:val="24"/>
          <w:szCs w:val="24"/>
        </w:rPr>
        <w:t xml:space="preserve">Implementing Partners: </w:t>
      </w:r>
      <w:r>
        <w:rPr>
          <w:sz w:val="24"/>
          <w:szCs w:val="24"/>
        </w:rPr>
        <w:t>EHA, TBD</w:t>
      </w:r>
    </w:p>
    <w:p w14:paraId="1CE97DB9" w14:textId="77777777" w:rsidR="00795F28" w:rsidRDefault="002960F9">
      <w:pPr>
        <w:pStyle w:val="normal0"/>
      </w:pPr>
      <w:r>
        <w:rPr>
          <w:b/>
          <w:sz w:val="24"/>
          <w:szCs w:val="24"/>
        </w:rPr>
        <w:t xml:space="preserve">Principal Investigator: </w:t>
      </w:r>
      <w:r>
        <w:rPr>
          <w:sz w:val="24"/>
          <w:szCs w:val="24"/>
        </w:rPr>
        <w:t>TBD</w:t>
      </w:r>
    </w:p>
    <w:p w14:paraId="4488EC16" w14:textId="77777777" w:rsidR="00795F28" w:rsidRDefault="002960F9">
      <w:pPr>
        <w:pStyle w:val="normal0"/>
      </w:pPr>
      <w:r>
        <w:rPr>
          <w:b/>
          <w:sz w:val="24"/>
          <w:szCs w:val="24"/>
        </w:rPr>
        <w:t>Country Coordinator:</w:t>
      </w:r>
      <w:r>
        <w:rPr>
          <w:sz w:val="24"/>
          <w:szCs w:val="24"/>
        </w:rPr>
        <w:t xml:space="preserve"> TBD</w:t>
      </w:r>
    </w:p>
    <w:p w14:paraId="53D5E594" w14:textId="77777777" w:rsidR="00795F28" w:rsidRDefault="002960F9">
      <w:pPr>
        <w:pStyle w:val="normal0"/>
      </w:pPr>
      <w:r>
        <w:rPr>
          <w:sz w:val="24"/>
          <w:szCs w:val="24"/>
        </w:rPr>
        <w:t xml:space="preserve"> </w:t>
      </w:r>
    </w:p>
    <w:p w14:paraId="4FD53395" w14:textId="77777777" w:rsidR="00795F28" w:rsidRDefault="002960F9">
      <w:pPr>
        <w:pStyle w:val="normal0"/>
      </w:pPr>
      <w:r>
        <w:rPr>
          <w:b/>
          <w:sz w:val="24"/>
          <w:szCs w:val="24"/>
        </w:rPr>
        <w:t>Existing and Prospective Partners</w:t>
      </w:r>
    </w:p>
    <w:p w14:paraId="4128CCA5" w14:textId="77777777" w:rsidR="00795F28" w:rsidRDefault="00795F28">
      <w:pPr>
        <w:pStyle w:val="normal0"/>
      </w:pPr>
    </w:p>
    <w:tbl>
      <w:tblPr>
        <w:tblStyle w:val="a"/>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35"/>
        <w:gridCol w:w="2925"/>
        <w:gridCol w:w="3615"/>
      </w:tblGrid>
      <w:tr w:rsidR="00795F28" w14:paraId="3CE9ADC5" w14:textId="77777777">
        <w:tc>
          <w:tcPr>
            <w:tcW w:w="2835" w:type="dxa"/>
            <w:tcMar>
              <w:top w:w="100" w:type="dxa"/>
              <w:left w:w="100" w:type="dxa"/>
              <w:bottom w:w="100" w:type="dxa"/>
              <w:right w:w="100" w:type="dxa"/>
            </w:tcMar>
          </w:tcPr>
          <w:p w14:paraId="553FB6E6" w14:textId="77777777" w:rsidR="00795F28" w:rsidRDefault="002960F9">
            <w:pPr>
              <w:pStyle w:val="normal0"/>
              <w:widowControl w:val="0"/>
              <w:jc w:val="center"/>
            </w:pPr>
            <w:r>
              <w:rPr>
                <w:b/>
                <w:sz w:val="20"/>
                <w:szCs w:val="20"/>
              </w:rPr>
              <w:t>NAME</w:t>
            </w:r>
          </w:p>
        </w:tc>
        <w:tc>
          <w:tcPr>
            <w:tcW w:w="2925" w:type="dxa"/>
            <w:tcMar>
              <w:top w:w="100" w:type="dxa"/>
              <w:left w:w="100" w:type="dxa"/>
              <w:bottom w:w="100" w:type="dxa"/>
              <w:right w:w="100" w:type="dxa"/>
            </w:tcMar>
          </w:tcPr>
          <w:p w14:paraId="0858710C" w14:textId="77777777" w:rsidR="00795F28" w:rsidRDefault="002960F9">
            <w:pPr>
              <w:pStyle w:val="normal0"/>
              <w:widowControl w:val="0"/>
              <w:jc w:val="center"/>
            </w:pPr>
            <w:r>
              <w:rPr>
                <w:b/>
                <w:sz w:val="20"/>
                <w:szCs w:val="20"/>
              </w:rPr>
              <w:t>ORGANIZATION</w:t>
            </w:r>
          </w:p>
        </w:tc>
        <w:tc>
          <w:tcPr>
            <w:tcW w:w="3615" w:type="dxa"/>
            <w:tcMar>
              <w:top w:w="100" w:type="dxa"/>
              <w:left w:w="100" w:type="dxa"/>
              <w:bottom w:w="100" w:type="dxa"/>
              <w:right w:w="100" w:type="dxa"/>
            </w:tcMar>
          </w:tcPr>
          <w:p w14:paraId="43F58485" w14:textId="77777777" w:rsidR="00795F28" w:rsidRDefault="002960F9">
            <w:pPr>
              <w:pStyle w:val="normal0"/>
              <w:widowControl w:val="0"/>
              <w:jc w:val="center"/>
            </w:pPr>
            <w:r>
              <w:rPr>
                <w:b/>
                <w:sz w:val="20"/>
                <w:szCs w:val="20"/>
              </w:rPr>
              <w:t>ROLE</w:t>
            </w:r>
          </w:p>
        </w:tc>
      </w:tr>
      <w:tr w:rsidR="00795F28" w14:paraId="463C5C61" w14:textId="77777777">
        <w:tc>
          <w:tcPr>
            <w:tcW w:w="2835" w:type="dxa"/>
            <w:tcMar>
              <w:top w:w="100" w:type="dxa"/>
              <w:left w:w="100" w:type="dxa"/>
              <w:bottom w:w="100" w:type="dxa"/>
              <w:right w:w="100" w:type="dxa"/>
            </w:tcMar>
          </w:tcPr>
          <w:p w14:paraId="6BBC3508" w14:textId="77777777" w:rsidR="00795F28" w:rsidRDefault="002960F9">
            <w:pPr>
              <w:pStyle w:val="normal0"/>
              <w:widowControl w:val="0"/>
            </w:pPr>
            <w:r>
              <w:rPr>
                <w:b/>
                <w:sz w:val="20"/>
                <w:szCs w:val="20"/>
              </w:rPr>
              <w:t xml:space="preserve">Dr. </w:t>
            </w:r>
            <w:proofErr w:type="spellStart"/>
            <w:r>
              <w:rPr>
                <w:b/>
                <w:sz w:val="20"/>
                <w:szCs w:val="20"/>
              </w:rPr>
              <w:t>Eltahir</w:t>
            </w:r>
            <w:proofErr w:type="spellEnd"/>
            <w:r>
              <w:rPr>
                <w:b/>
                <w:sz w:val="20"/>
                <w:szCs w:val="20"/>
              </w:rPr>
              <w:t xml:space="preserve"> M </w:t>
            </w:r>
            <w:proofErr w:type="spellStart"/>
            <w:r>
              <w:rPr>
                <w:b/>
                <w:sz w:val="20"/>
                <w:szCs w:val="20"/>
              </w:rPr>
              <w:t>Haroun</w:t>
            </w:r>
            <w:proofErr w:type="spellEnd"/>
          </w:p>
        </w:tc>
        <w:tc>
          <w:tcPr>
            <w:tcW w:w="2925" w:type="dxa"/>
            <w:tcMar>
              <w:top w:w="100" w:type="dxa"/>
              <w:left w:w="100" w:type="dxa"/>
              <w:bottom w:w="100" w:type="dxa"/>
              <w:right w:w="100" w:type="dxa"/>
            </w:tcMar>
          </w:tcPr>
          <w:p w14:paraId="2E4B6546" w14:textId="77777777" w:rsidR="00795F28" w:rsidRDefault="002960F9">
            <w:pPr>
              <w:pStyle w:val="normal0"/>
              <w:widowControl w:val="0"/>
            </w:pPr>
            <w:r>
              <w:rPr>
                <w:b/>
                <w:sz w:val="20"/>
                <w:szCs w:val="20"/>
              </w:rPr>
              <w:t>University of Khartoum</w:t>
            </w:r>
          </w:p>
        </w:tc>
        <w:tc>
          <w:tcPr>
            <w:tcW w:w="3615" w:type="dxa"/>
            <w:tcMar>
              <w:top w:w="100" w:type="dxa"/>
              <w:left w:w="100" w:type="dxa"/>
              <w:bottom w:w="100" w:type="dxa"/>
              <w:right w:w="100" w:type="dxa"/>
            </w:tcMar>
          </w:tcPr>
          <w:p w14:paraId="1D790187" w14:textId="77777777" w:rsidR="00795F28" w:rsidRDefault="002960F9">
            <w:pPr>
              <w:pStyle w:val="normal0"/>
              <w:widowControl w:val="0"/>
            </w:pPr>
            <w:r>
              <w:rPr>
                <w:b/>
                <w:sz w:val="20"/>
                <w:szCs w:val="20"/>
              </w:rPr>
              <w:t>Faculty</w:t>
            </w:r>
          </w:p>
        </w:tc>
      </w:tr>
      <w:tr w:rsidR="00795F28" w14:paraId="386DC34E" w14:textId="77777777">
        <w:tc>
          <w:tcPr>
            <w:tcW w:w="2835" w:type="dxa"/>
            <w:tcMar>
              <w:top w:w="100" w:type="dxa"/>
              <w:left w:w="100" w:type="dxa"/>
              <w:bottom w:w="100" w:type="dxa"/>
              <w:right w:w="100" w:type="dxa"/>
            </w:tcMar>
          </w:tcPr>
          <w:p w14:paraId="14B0C1E5" w14:textId="77777777" w:rsidR="00795F28" w:rsidRDefault="002960F9">
            <w:pPr>
              <w:pStyle w:val="normal0"/>
              <w:widowControl w:val="0"/>
            </w:pPr>
            <w:r>
              <w:rPr>
                <w:b/>
                <w:sz w:val="20"/>
                <w:szCs w:val="20"/>
              </w:rPr>
              <w:t xml:space="preserve">Dr. </w:t>
            </w:r>
            <w:proofErr w:type="spellStart"/>
            <w:r>
              <w:rPr>
                <w:b/>
                <w:sz w:val="20"/>
                <w:szCs w:val="20"/>
              </w:rPr>
              <w:t>Imadeldin</w:t>
            </w:r>
            <w:proofErr w:type="spellEnd"/>
            <w:r>
              <w:rPr>
                <w:b/>
                <w:sz w:val="20"/>
                <w:szCs w:val="20"/>
              </w:rPr>
              <w:t xml:space="preserve"> E </w:t>
            </w:r>
            <w:proofErr w:type="spellStart"/>
            <w:r>
              <w:rPr>
                <w:b/>
                <w:sz w:val="20"/>
                <w:szCs w:val="20"/>
              </w:rPr>
              <w:t>Aradaib</w:t>
            </w:r>
            <w:proofErr w:type="spellEnd"/>
          </w:p>
        </w:tc>
        <w:tc>
          <w:tcPr>
            <w:tcW w:w="2925" w:type="dxa"/>
            <w:tcMar>
              <w:top w:w="100" w:type="dxa"/>
              <w:left w:w="100" w:type="dxa"/>
              <w:bottom w:w="100" w:type="dxa"/>
              <w:right w:w="100" w:type="dxa"/>
            </w:tcMar>
          </w:tcPr>
          <w:p w14:paraId="5C0B1AB3" w14:textId="77777777" w:rsidR="00795F28" w:rsidRDefault="002960F9">
            <w:pPr>
              <w:pStyle w:val="normal0"/>
              <w:widowControl w:val="0"/>
            </w:pPr>
            <w:r>
              <w:rPr>
                <w:b/>
                <w:sz w:val="20"/>
                <w:szCs w:val="20"/>
              </w:rPr>
              <w:t>University of Khartoum</w:t>
            </w:r>
          </w:p>
        </w:tc>
        <w:tc>
          <w:tcPr>
            <w:tcW w:w="3615" w:type="dxa"/>
            <w:tcMar>
              <w:top w:w="100" w:type="dxa"/>
              <w:left w:w="100" w:type="dxa"/>
              <w:bottom w:w="100" w:type="dxa"/>
              <w:right w:w="100" w:type="dxa"/>
            </w:tcMar>
          </w:tcPr>
          <w:p w14:paraId="310C1AD2" w14:textId="77777777" w:rsidR="00795F28" w:rsidRDefault="002960F9">
            <w:pPr>
              <w:pStyle w:val="normal0"/>
              <w:widowControl w:val="0"/>
            </w:pPr>
            <w:r>
              <w:rPr>
                <w:b/>
                <w:sz w:val="20"/>
                <w:szCs w:val="20"/>
              </w:rPr>
              <w:t>Faculty</w:t>
            </w:r>
          </w:p>
        </w:tc>
      </w:tr>
      <w:tr w:rsidR="00795F28" w14:paraId="3F917395" w14:textId="77777777">
        <w:tc>
          <w:tcPr>
            <w:tcW w:w="2835" w:type="dxa"/>
            <w:tcMar>
              <w:top w:w="100" w:type="dxa"/>
              <w:left w:w="100" w:type="dxa"/>
              <w:bottom w:w="100" w:type="dxa"/>
              <w:right w:w="100" w:type="dxa"/>
            </w:tcMar>
          </w:tcPr>
          <w:p w14:paraId="65EA5915" w14:textId="77777777" w:rsidR="00795F28" w:rsidRDefault="002960F9">
            <w:pPr>
              <w:pStyle w:val="normal0"/>
              <w:widowControl w:val="0"/>
            </w:pPr>
            <w:r>
              <w:rPr>
                <w:b/>
                <w:sz w:val="20"/>
                <w:szCs w:val="20"/>
              </w:rPr>
              <w:t>Dr. Osama H Omer</w:t>
            </w:r>
          </w:p>
        </w:tc>
        <w:tc>
          <w:tcPr>
            <w:tcW w:w="2925" w:type="dxa"/>
            <w:tcMar>
              <w:top w:w="100" w:type="dxa"/>
              <w:left w:w="100" w:type="dxa"/>
              <w:bottom w:w="100" w:type="dxa"/>
              <w:right w:w="100" w:type="dxa"/>
            </w:tcMar>
          </w:tcPr>
          <w:p w14:paraId="6A685AFC" w14:textId="77777777" w:rsidR="00795F28" w:rsidRDefault="002960F9">
            <w:pPr>
              <w:pStyle w:val="normal0"/>
              <w:widowControl w:val="0"/>
            </w:pPr>
            <w:r>
              <w:rPr>
                <w:b/>
                <w:sz w:val="20"/>
                <w:szCs w:val="20"/>
              </w:rPr>
              <w:t>University of Khartoum</w:t>
            </w:r>
          </w:p>
        </w:tc>
        <w:tc>
          <w:tcPr>
            <w:tcW w:w="3615" w:type="dxa"/>
            <w:tcMar>
              <w:top w:w="100" w:type="dxa"/>
              <w:left w:w="100" w:type="dxa"/>
              <w:bottom w:w="100" w:type="dxa"/>
              <w:right w:w="100" w:type="dxa"/>
            </w:tcMar>
          </w:tcPr>
          <w:p w14:paraId="40776604" w14:textId="77777777" w:rsidR="00795F28" w:rsidRDefault="002960F9">
            <w:pPr>
              <w:pStyle w:val="normal0"/>
              <w:widowControl w:val="0"/>
            </w:pPr>
            <w:r>
              <w:rPr>
                <w:b/>
                <w:sz w:val="20"/>
                <w:szCs w:val="20"/>
              </w:rPr>
              <w:t>Faculty</w:t>
            </w:r>
          </w:p>
        </w:tc>
      </w:tr>
    </w:tbl>
    <w:p w14:paraId="4A0BE396" w14:textId="77777777" w:rsidR="00795F28" w:rsidRDefault="00795F28">
      <w:pPr>
        <w:pStyle w:val="normal0"/>
      </w:pPr>
    </w:p>
    <w:p w14:paraId="4526BDC5" w14:textId="77777777" w:rsidR="00795F28" w:rsidRDefault="00795F28">
      <w:pPr>
        <w:pStyle w:val="normal0"/>
      </w:pPr>
    </w:p>
    <w:p w14:paraId="7A4B04F5" w14:textId="77777777" w:rsidR="00795F28" w:rsidRDefault="00795F28">
      <w:pPr>
        <w:pStyle w:val="normal0"/>
      </w:pPr>
    </w:p>
    <w:p w14:paraId="2B0A1567" w14:textId="77777777" w:rsidR="00795F28" w:rsidRDefault="002960F9">
      <w:pPr>
        <w:pStyle w:val="normal0"/>
      </w:pPr>
      <w:r>
        <w:rPr>
          <w:b/>
          <w:sz w:val="24"/>
          <w:szCs w:val="24"/>
        </w:rPr>
        <w:t xml:space="preserve">No deviations from activates listed in the All-country </w:t>
      </w:r>
      <w:proofErr w:type="spellStart"/>
      <w:r>
        <w:rPr>
          <w:b/>
          <w:sz w:val="24"/>
          <w:szCs w:val="24"/>
        </w:rPr>
        <w:t>workplan</w:t>
      </w:r>
      <w:proofErr w:type="spellEnd"/>
    </w:p>
    <w:p w14:paraId="3CE3E78F" w14:textId="77777777" w:rsidR="00795F28" w:rsidRDefault="00795F28">
      <w:pPr>
        <w:pStyle w:val="normal0"/>
      </w:pPr>
    </w:p>
    <w:p w14:paraId="0E373C4F" w14:textId="77777777" w:rsidR="00795F28" w:rsidRDefault="002960F9">
      <w:pPr>
        <w:pStyle w:val="normal0"/>
      </w:pPr>
      <w:r>
        <w:rPr>
          <w:b/>
          <w:sz w:val="24"/>
          <w:szCs w:val="24"/>
        </w:rPr>
        <w:t>Zoonotic Disease Surveillance Plans</w:t>
      </w:r>
    </w:p>
    <w:p w14:paraId="781150A1" w14:textId="77777777" w:rsidR="00795F28" w:rsidRDefault="002960F9">
      <w:pPr>
        <w:pStyle w:val="normal0"/>
        <w:ind w:firstLine="720"/>
      </w:pPr>
      <w:r>
        <w:rPr>
          <w:sz w:val="24"/>
          <w:szCs w:val="24"/>
        </w:rPr>
        <w:t>Build partnerships and initiate concurrent biological and behavioral surveillance activities targeting animals and humans at least 1 pathway for disease emergence, amplification, and spread, and evaluate opportunities for expansion of activities for in-dep</w:t>
      </w:r>
      <w:r>
        <w:rPr>
          <w:sz w:val="24"/>
          <w:szCs w:val="24"/>
        </w:rPr>
        <w:t>th targeted surveillance in Years 3 and 4.</w:t>
      </w:r>
    </w:p>
    <w:p w14:paraId="4B4F1797" w14:textId="77777777" w:rsidR="00795F28" w:rsidRDefault="002960F9">
      <w:pPr>
        <w:pStyle w:val="normal0"/>
      </w:pPr>
      <w:r>
        <w:rPr>
          <w:b/>
          <w:sz w:val="24"/>
          <w:szCs w:val="24"/>
        </w:rPr>
        <w:t xml:space="preserve"> </w:t>
      </w:r>
    </w:p>
    <w:p w14:paraId="3448D34C" w14:textId="77777777" w:rsidR="00795F28" w:rsidRDefault="002960F9">
      <w:pPr>
        <w:pStyle w:val="normal0"/>
      </w:pPr>
      <w:r>
        <w:rPr>
          <w:b/>
          <w:sz w:val="24"/>
          <w:szCs w:val="24"/>
        </w:rPr>
        <w:t>Intensifying Animal Production Pathway:</w:t>
      </w:r>
    </w:p>
    <w:p w14:paraId="68DEE379" w14:textId="77777777" w:rsidR="00795F28" w:rsidRDefault="002960F9">
      <w:pPr>
        <w:pStyle w:val="normal0"/>
        <w:numPr>
          <w:ilvl w:val="0"/>
          <w:numId w:val="1"/>
        </w:numPr>
        <w:ind w:hanging="360"/>
        <w:contextualSpacing/>
        <w:rPr>
          <w:sz w:val="24"/>
          <w:szCs w:val="24"/>
        </w:rPr>
      </w:pPr>
      <w:r>
        <w:rPr>
          <w:b/>
          <w:sz w:val="24"/>
          <w:szCs w:val="24"/>
        </w:rPr>
        <w:t>Sampling targets</w:t>
      </w:r>
      <w:r>
        <w:rPr>
          <w:b/>
          <w:color w:val="3366FF"/>
          <w:sz w:val="24"/>
          <w:szCs w:val="24"/>
        </w:rPr>
        <w:t>:</w:t>
      </w:r>
    </w:p>
    <w:p w14:paraId="49C98321" w14:textId="77777777" w:rsidR="00795F28" w:rsidRDefault="002960F9">
      <w:pPr>
        <w:pStyle w:val="normal0"/>
        <w:numPr>
          <w:ilvl w:val="1"/>
          <w:numId w:val="1"/>
        </w:numPr>
        <w:ind w:hanging="360"/>
        <w:contextualSpacing/>
        <w:rPr>
          <w:sz w:val="24"/>
          <w:szCs w:val="24"/>
        </w:rPr>
      </w:pPr>
      <w:r>
        <w:rPr>
          <w:sz w:val="24"/>
          <w:szCs w:val="24"/>
        </w:rPr>
        <w:t xml:space="preserve">Wildlife (especially </w:t>
      </w:r>
      <w:proofErr w:type="spellStart"/>
      <w:r>
        <w:rPr>
          <w:i/>
          <w:sz w:val="24"/>
          <w:szCs w:val="24"/>
        </w:rPr>
        <w:t>Taphozous</w:t>
      </w:r>
      <w:proofErr w:type="spellEnd"/>
      <w:r>
        <w:rPr>
          <w:i/>
          <w:sz w:val="24"/>
          <w:szCs w:val="24"/>
        </w:rPr>
        <w:t xml:space="preserve"> </w:t>
      </w:r>
      <w:proofErr w:type="spellStart"/>
      <w:r>
        <w:rPr>
          <w:i/>
          <w:sz w:val="24"/>
          <w:szCs w:val="24"/>
        </w:rPr>
        <w:t>perforatus</w:t>
      </w:r>
      <w:proofErr w:type="spellEnd"/>
      <w:r>
        <w:rPr>
          <w:sz w:val="24"/>
          <w:szCs w:val="24"/>
        </w:rPr>
        <w:t xml:space="preserve">) in urban and </w:t>
      </w:r>
      <w:proofErr w:type="spellStart"/>
      <w:r>
        <w:rPr>
          <w:sz w:val="24"/>
          <w:szCs w:val="24"/>
        </w:rPr>
        <w:t>peri</w:t>
      </w:r>
      <w:proofErr w:type="spellEnd"/>
      <w:r>
        <w:rPr>
          <w:sz w:val="24"/>
          <w:szCs w:val="24"/>
        </w:rPr>
        <w:t>-urban areas and water sources (where domestic and wild animals comingle) used by livestock production facilities and markets (camel operations)</w:t>
      </w:r>
    </w:p>
    <w:p w14:paraId="52B87196" w14:textId="77777777" w:rsidR="00795F28" w:rsidRDefault="002960F9">
      <w:pPr>
        <w:pStyle w:val="normal0"/>
        <w:numPr>
          <w:ilvl w:val="1"/>
          <w:numId w:val="1"/>
        </w:numPr>
        <w:ind w:hanging="360"/>
        <w:contextualSpacing/>
        <w:rPr>
          <w:sz w:val="24"/>
          <w:szCs w:val="24"/>
        </w:rPr>
      </w:pPr>
      <w:r>
        <w:rPr>
          <w:sz w:val="24"/>
          <w:szCs w:val="24"/>
        </w:rPr>
        <w:t>Human populations with frequent exposure to wildlife, camels, and possibly patients presenti</w:t>
      </w:r>
      <w:r>
        <w:rPr>
          <w:sz w:val="24"/>
          <w:szCs w:val="24"/>
        </w:rPr>
        <w:t xml:space="preserve">ng in local health clinics with respiratory </w:t>
      </w:r>
      <w:r>
        <w:rPr>
          <w:sz w:val="24"/>
          <w:szCs w:val="24"/>
        </w:rPr>
        <w:t>illnesses</w:t>
      </w:r>
    </w:p>
    <w:p w14:paraId="08EA7737" w14:textId="77777777" w:rsidR="00795F28" w:rsidRDefault="002960F9">
      <w:pPr>
        <w:pStyle w:val="normal0"/>
        <w:numPr>
          <w:ilvl w:val="0"/>
          <w:numId w:val="1"/>
        </w:numPr>
        <w:ind w:hanging="360"/>
        <w:contextualSpacing/>
        <w:rPr>
          <w:sz w:val="24"/>
          <w:szCs w:val="24"/>
        </w:rPr>
      </w:pPr>
      <w:r>
        <w:rPr>
          <w:rFonts w:ascii="Times New Roman" w:eastAsia="Times New Roman" w:hAnsi="Times New Roman" w:cs="Times New Roman"/>
          <w:sz w:val="24"/>
          <w:szCs w:val="24"/>
        </w:rPr>
        <w:t xml:space="preserve"> </w:t>
      </w:r>
      <w:r>
        <w:rPr>
          <w:b/>
          <w:sz w:val="24"/>
          <w:szCs w:val="24"/>
        </w:rPr>
        <w:t>Sampling locations:</w:t>
      </w:r>
    </w:p>
    <w:p w14:paraId="25EC25CA" w14:textId="77777777" w:rsidR="00795F28" w:rsidRDefault="002960F9">
      <w:pPr>
        <w:pStyle w:val="normal0"/>
        <w:numPr>
          <w:ilvl w:val="1"/>
          <w:numId w:val="1"/>
        </w:numPr>
        <w:ind w:hanging="360"/>
        <w:contextualSpacing/>
        <w:rPr>
          <w:sz w:val="24"/>
          <w:szCs w:val="24"/>
        </w:rPr>
      </w:pPr>
      <w:r>
        <w:rPr>
          <w:sz w:val="24"/>
          <w:szCs w:val="24"/>
        </w:rPr>
        <w:t>To be determined based on the structure of the camel supply chain in Sudan.</w:t>
      </w:r>
    </w:p>
    <w:p w14:paraId="6F7281AF" w14:textId="77777777" w:rsidR="002960F9" w:rsidRDefault="002960F9">
      <w:pPr>
        <w:pStyle w:val="normal0"/>
        <w:rPr>
          <w:b/>
          <w:sz w:val="24"/>
          <w:szCs w:val="24"/>
        </w:rPr>
      </w:pPr>
    </w:p>
    <w:p w14:paraId="16E60579" w14:textId="77777777" w:rsidR="002960F9" w:rsidRDefault="002960F9">
      <w:pPr>
        <w:pStyle w:val="normal0"/>
        <w:rPr>
          <w:b/>
          <w:sz w:val="24"/>
          <w:szCs w:val="24"/>
        </w:rPr>
      </w:pPr>
    </w:p>
    <w:p w14:paraId="116C9FD8" w14:textId="77777777" w:rsidR="002960F9" w:rsidRDefault="002960F9">
      <w:pPr>
        <w:pStyle w:val="normal0"/>
        <w:rPr>
          <w:b/>
          <w:sz w:val="24"/>
          <w:szCs w:val="24"/>
        </w:rPr>
      </w:pPr>
    </w:p>
    <w:p w14:paraId="0F3CCD61" w14:textId="77777777" w:rsidR="002960F9" w:rsidRDefault="002960F9">
      <w:pPr>
        <w:pStyle w:val="normal0"/>
        <w:rPr>
          <w:b/>
          <w:sz w:val="24"/>
          <w:szCs w:val="24"/>
        </w:rPr>
      </w:pPr>
    </w:p>
    <w:p w14:paraId="2A9FC6A6" w14:textId="77777777" w:rsidR="002960F9" w:rsidRDefault="002960F9">
      <w:pPr>
        <w:pStyle w:val="normal0"/>
        <w:rPr>
          <w:b/>
          <w:sz w:val="24"/>
          <w:szCs w:val="24"/>
        </w:rPr>
      </w:pPr>
    </w:p>
    <w:p w14:paraId="4E94A1ED" w14:textId="77777777" w:rsidR="00795F28" w:rsidRDefault="002960F9">
      <w:pPr>
        <w:pStyle w:val="normal0"/>
      </w:pPr>
      <w:bookmarkStart w:id="0" w:name="_GoBack"/>
      <w:bookmarkEnd w:id="0"/>
      <w:r>
        <w:rPr>
          <w:b/>
          <w:sz w:val="24"/>
          <w:szCs w:val="24"/>
        </w:rPr>
        <w:lastRenderedPageBreak/>
        <w:t>OR</w:t>
      </w:r>
    </w:p>
    <w:p w14:paraId="3714CFD9" w14:textId="77777777" w:rsidR="00795F28" w:rsidRDefault="00795F28">
      <w:pPr>
        <w:pStyle w:val="normal0"/>
      </w:pPr>
    </w:p>
    <w:p w14:paraId="34768E00" w14:textId="77777777" w:rsidR="00795F28" w:rsidRDefault="002960F9">
      <w:pPr>
        <w:pStyle w:val="normal0"/>
      </w:pPr>
      <w:r>
        <w:rPr>
          <w:b/>
          <w:sz w:val="24"/>
          <w:szCs w:val="24"/>
        </w:rPr>
        <w:t>Land Conversion for Commercialization:</w:t>
      </w:r>
    </w:p>
    <w:p w14:paraId="43326B7E" w14:textId="77777777" w:rsidR="00795F28" w:rsidRDefault="002960F9">
      <w:pPr>
        <w:pStyle w:val="normal0"/>
        <w:numPr>
          <w:ilvl w:val="0"/>
          <w:numId w:val="2"/>
        </w:numPr>
        <w:ind w:hanging="360"/>
        <w:contextualSpacing/>
        <w:rPr>
          <w:sz w:val="24"/>
          <w:szCs w:val="24"/>
        </w:rPr>
      </w:pPr>
      <w:r>
        <w:rPr>
          <w:b/>
          <w:sz w:val="24"/>
          <w:szCs w:val="24"/>
        </w:rPr>
        <w:t>Sampling targ</w:t>
      </w:r>
      <w:r>
        <w:rPr>
          <w:sz w:val="24"/>
          <w:szCs w:val="24"/>
        </w:rPr>
        <w:t xml:space="preserve">ets (people and domestic </w:t>
      </w:r>
      <w:r>
        <w:rPr>
          <w:sz w:val="24"/>
          <w:szCs w:val="24"/>
        </w:rPr>
        <w:t>animals commingled with wildlife in prioritized locations) such as</w:t>
      </w:r>
      <w:r>
        <w:rPr>
          <w:b/>
          <w:sz w:val="24"/>
          <w:szCs w:val="24"/>
        </w:rPr>
        <w:t>:</w:t>
      </w:r>
    </w:p>
    <w:p w14:paraId="0052A448" w14:textId="77777777" w:rsidR="00795F28" w:rsidRDefault="002960F9">
      <w:pPr>
        <w:pStyle w:val="normal0"/>
        <w:numPr>
          <w:ilvl w:val="1"/>
          <w:numId w:val="2"/>
        </w:numPr>
        <w:ind w:hanging="360"/>
        <w:contextualSpacing/>
        <w:rPr>
          <w:sz w:val="24"/>
          <w:szCs w:val="24"/>
        </w:rPr>
      </w:pPr>
      <w:r>
        <w:rPr>
          <w:sz w:val="24"/>
          <w:szCs w:val="24"/>
        </w:rPr>
        <w:t xml:space="preserve">Wildlife near water sources in the desert, potentially degraded by population growth, settlements, and movement of people and refugees in </w:t>
      </w:r>
      <w:proofErr w:type="spellStart"/>
      <w:r>
        <w:rPr>
          <w:sz w:val="24"/>
          <w:szCs w:val="24"/>
        </w:rPr>
        <w:t>transboundary</w:t>
      </w:r>
      <w:proofErr w:type="spellEnd"/>
      <w:r>
        <w:rPr>
          <w:sz w:val="24"/>
          <w:szCs w:val="24"/>
        </w:rPr>
        <w:t xml:space="preserve"> areas</w:t>
      </w:r>
    </w:p>
    <w:p w14:paraId="7D751A05" w14:textId="77777777" w:rsidR="00795F28" w:rsidRDefault="002960F9">
      <w:pPr>
        <w:pStyle w:val="normal0"/>
        <w:numPr>
          <w:ilvl w:val="1"/>
          <w:numId w:val="2"/>
        </w:numPr>
        <w:ind w:hanging="360"/>
        <w:contextualSpacing/>
        <w:rPr>
          <w:sz w:val="24"/>
          <w:szCs w:val="24"/>
        </w:rPr>
      </w:pPr>
      <w:r>
        <w:rPr>
          <w:sz w:val="24"/>
          <w:szCs w:val="24"/>
        </w:rPr>
        <w:t xml:space="preserve">Wildlife in and around homes, </w:t>
      </w:r>
      <w:r>
        <w:rPr>
          <w:sz w:val="24"/>
          <w:szCs w:val="24"/>
        </w:rPr>
        <w:t xml:space="preserve">that comingle with livestock operations, extractive industries, and in areas of changing land use due to the construction of reservoirs </w:t>
      </w:r>
    </w:p>
    <w:p w14:paraId="1074370B" w14:textId="77777777" w:rsidR="00795F28" w:rsidRDefault="002960F9">
      <w:pPr>
        <w:pStyle w:val="normal0"/>
        <w:numPr>
          <w:ilvl w:val="1"/>
          <w:numId w:val="2"/>
        </w:numPr>
        <w:ind w:hanging="360"/>
        <w:contextualSpacing/>
        <w:rPr>
          <w:sz w:val="24"/>
          <w:szCs w:val="24"/>
        </w:rPr>
      </w:pPr>
      <w:r>
        <w:rPr>
          <w:sz w:val="24"/>
          <w:szCs w:val="24"/>
        </w:rPr>
        <w:t>Rapidly growing human communities around extractive industries or intensifying agricultural and animal production activ</w:t>
      </w:r>
      <w:r>
        <w:rPr>
          <w:sz w:val="24"/>
          <w:szCs w:val="24"/>
        </w:rPr>
        <w:t>ities, including livestock handlers and slaughterhouse employees</w:t>
      </w:r>
    </w:p>
    <w:p w14:paraId="55706135" w14:textId="77777777" w:rsidR="00795F28" w:rsidRDefault="002960F9">
      <w:pPr>
        <w:pStyle w:val="normal0"/>
        <w:numPr>
          <w:ilvl w:val="0"/>
          <w:numId w:val="2"/>
        </w:numPr>
        <w:ind w:hanging="360"/>
        <w:contextualSpacing/>
        <w:rPr>
          <w:sz w:val="24"/>
          <w:szCs w:val="24"/>
        </w:rPr>
      </w:pPr>
      <w:r>
        <w:rPr>
          <w:b/>
          <w:sz w:val="24"/>
          <w:szCs w:val="24"/>
        </w:rPr>
        <w:t>Potential Sampling location:</w:t>
      </w:r>
    </w:p>
    <w:p w14:paraId="534E21A5" w14:textId="77777777" w:rsidR="00795F28" w:rsidRDefault="002960F9">
      <w:pPr>
        <w:pStyle w:val="normal0"/>
        <w:numPr>
          <w:ilvl w:val="1"/>
          <w:numId w:val="2"/>
        </w:numPr>
        <w:ind w:hanging="360"/>
        <w:contextualSpacing/>
        <w:rPr>
          <w:sz w:val="24"/>
          <w:szCs w:val="24"/>
        </w:rPr>
      </w:pPr>
      <w:r>
        <w:rPr>
          <w:sz w:val="24"/>
          <w:szCs w:val="24"/>
        </w:rPr>
        <w:t>TBD</w:t>
      </w:r>
    </w:p>
    <w:p w14:paraId="776D864A" w14:textId="77777777" w:rsidR="00795F28" w:rsidRDefault="002960F9">
      <w:pPr>
        <w:pStyle w:val="normal0"/>
      </w:pPr>
      <w:r>
        <w:rPr>
          <w:b/>
          <w:sz w:val="24"/>
          <w:szCs w:val="24"/>
        </w:rPr>
        <w:t xml:space="preserve"> </w:t>
      </w:r>
    </w:p>
    <w:p w14:paraId="3FC5AC6F" w14:textId="77777777" w:rsidR="00795F28" w:rsidRDefault="002960F9">
      <w:pPr>
        <w:pStyle w:val="normal0"/>
      </w:pPr>
      <w:r>
        <w:rPr>
          <w:b/>
          <w:sz w:val="24"/>
          <w:szCs w:val="24"/>
        </w:rPr>
        <w:t>Laboratory Systems Plans</w:t>
      </w:r>
    </w:p>
    <w:p w14:paraId="1D74F95D" w14:textId="77777777" w:rsidR="00795F28" w:rsidRDefault="002960F9">
      <w:pPr>
        <w:pStyle w:val="normal0"/>
      </w:pPr>
      <w:r>
        <w:rPr>
          <w:sz w:val="24"/>
          <w:szCs w:val="24"/>
        </w:rPr>
        <w:t>To date, no laboratories have been engaged. Future partner laboratories will conduct viral family testing using PREDICT protocols w</w:t>
      </w:r>
      <w:r>
        <w:rPr>
          <w:sz w:val="24"/>
          <w:szCs w:val="24"/>
        </w:rPr>
        <w:t xml:space="preserve">ith plans to expand list of assays to include additional viral tests and bacteria. Public health and agriculture laboratories will be selected based on their demonstrated ability to conduct novel and known potentially </w:t>
      </w:r>
    </w:p>
    <w:p w14:paraId="2B8F32DD" w14:textId="77777777" w:rsidR="00795F28" w:rsidRDefault="002960F9">
      <w:pPr>
        <w:pStyle w:val="normal0"/>
      </w:pPr>
      <w:proofErr w:type="gramStart"/>
      <w:r>
        <w:rPr>
          <w:sz w:val="24"/>
          <w:szCs w:val="24"/>
        </w:rPr>
        <w:t>zoonotic</w:t>
      </w:r>
      <w:proofErr w:type="gramEnd"/>
      <w:r>
        <w:rPr>
          <w:sz w:val="24"/>
          <w:szCs w:val="24"/>
        </w:rPr>
        <w:t xml:space="preserve"> pathogen detection and chara</w:t>
      </w:r>
      <w:r>
        <w:rPr>
          <w:sz w:val="24"/>
          <w:szCs w:val="24"/>
        </w:rPr>
        <w:t>cterization testing.</w:t>
      </w:r>
    </w:p>
    <w:p w14:paraId="2F9F061A" w14:textId="77777777" w:rsidR="00795F28" w:rsidRDefault="002960F9">
      <w:pPr>
        <w:pStyle w:val="normal0"/>
      </w:pPr>
      <w:r>
        <w:rPr>
          <w:sz w:val="24"/>
          <w:szCs w:val="24"/>
        </w:rPr>
        <w:t xml:space="preserve"> </w:t>
      </w:r>
    </w:p>
    <w:p w14:paraId="02B9E7AB" w14:textId="77777777" w:rsidR="00795F28" w:rsidRDefault="002960F9">
      <w:pPr>
        <w:pStyle w:val="normal0"/>
      </w:pPr>
      <w:r>
        <w:rPr>
          <w:b/>
          <w:sz w:val="24"/>
          <w:szCs w:val="24"/>
        </w:rPr>
        <w:t>Operationalizing One Health and Capacity Strengthening Plans</w:t>
      </w:r>
    </w:p>
    <w:p w14:paraId="30F944E4" w14:textId="77777777" w:rsidR="00795F28" w:rsidRDefault="002960F9">
      <w:pPr>
        <w:pStyle w:val="normal0"/>
      </w:pPr>
      <w:r>
        <w:rPr>
          <w:sz w:val="24"/>
          <w:szCs w:val="24"/>
        </w:rPr>
        <w:t xml:space="preserve">Data sharing and communication process will be established with </w:t>
      </w:r>
      <w:proofErr w:type="gramStart"/>
      <w:r>
        <w:rPr>
          <w:sz w:val="24"/>
          <w:szCs w:val="24"/>
        </w:rPr>
        <w:t>Sudanese  partners</w:t>
      </w:r>
      <w:proofErr w:type="gramEnd"/>
      <w:r>
        <w:rPr>
          <w:sz w:val="24"/>
          <w:szCs w:val="24"/>
        </w:rPr>
        <w:t xml:space="preserve"> and will be expanded to other partners as appropriate to strengthen data platforms and im</w:t>
      </w:r>
      <w:r>
        <w:rPr>
          <w:sz w:val="24"/>
          <w:szCs w:val="24"/>
        </w:rPr>
        <w:t>prove the ease of dissemination of relevant animal, human, epidemiological, and ecological data.</w:t>
      </w:r>
    </w:p>
    <w:sectPr w:rsidR="00795F28">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3670A" w14:textId="77777777" w:rsidR="00000000" w:rsidRDefault="002960F9">
      <w:pPr>
        <w:spacing w:line="240" w:lineRule="auto"/>
      </w:pPr>
      <w:r>
        <w:separator/>
      </w:r>
    </w:p>
  </w:endnote>
  <w:endnote w:type="continuationSeparator" w:id="0">
    <w:p w14:paraId="09FA80C7" w14:textId="77777777" w:rsidR="00000000" w:rsidRDefault="00296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B34B7" w14:textId="77777777" w:rsidR="00795F28" w:rsidRDefault="002960F9">
    <w:pPr>
      <w:pStyle w:val="normal0"/>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4BA64" w14:textId="77777777" w:rsidR="00000000" w:rsidRDefault="002960F9">
      <w:pPr>
        <w:spacing w:line="240" w:lineRule="auto"/>
      </w:pPr>
      <w:r>
        <w:separator/>
      </w:r>
    </w:p>
  </w:footnote>
  <w:footnote w:type="continuationSeparator" w:id="0">
    <w:p w14:paraId="608AC5EB" w14:textId="77777777" w:rsidR="00000000" w:rsidRDefault="002960F9">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1D8A"/>
    <w:multiLevelType w:val="multilevel"/>
    <w:tmpl w:val="FD2E66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5401376"/>
    <w:multiLevelType w:val="multilevel"/>
    <w:tmpl w:val="9E4E95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95F28"/>
    <w:rsid w:val="002960F9"/>
    <w:rsid w:val="0079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A4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2317</Characters>
  <Application>Microsoft Macintosh Word</Application>
  <DocSecurity>0</DocSecurity>
  <Lines>19</Lines>
  <Paragraphs>5</Paragraphs>
  <ScaleCrop>false</ScaleCrop>
  <Company>Ecohelth Alliance</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2</cp:revision>
  <dcterms:created xsi:type="dcterms:W3CDTF">2015-08-03T21:42:00Z</dcterms:created>
  <dcterms:modified xsi:type="dcterms:W3CDTF">2015-08-03T21:42:00Z</dcterms:modified>
</cp:coreProperties>
</file>